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DA5174" w:rsidRPr="00DA5174" w14:paraId="5FB28BFE" w14:textId="77777777" w:rsidTr="00DA5174">
        <w:trPr>
          <w:trHeight w:val="1650"/>
          <w:tblCellSpacing w:w="15" w:type="dxa"/>
        </w:trPr>
        <w:tc>
          <w:tcPr>
            <w:tcW w:w="5000" w:type="pct"/>
            <w:shd w:val="clear" w:color="auto" w:fill="FFCC66"/>
            <w:vAlign w:val="center"/>
            <w:hideMark/>
          </w:tcPr>
          <w:p w14:paraId="07C50B7C" w14:textId="77777777" w:rsidR="00DA5174" w:rsidRPr="00DA5174" w:rsidRDefault="00DA5174" w:rsidP="00D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D4ACF" wp14:editId="1AEB962F">
                  <wp:extent cx="5905500" cy="952500"/>
                  <wp:effectExtent l="0" t="0" r="0" b="0"/>
                  <wp:docPr id="4" name="Picture 4" descr="http://academic.brooklyn.cuny.edu/english/melani/cs6/ban_f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cademic.brooklyn.cuny.edu/english/melani/cs6/ban_f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563817" w14:textId="77777777" w:rsidR="00DA5174" w:rsidRPr="00DA5174" w:rsidRDefault="00DA5174" w:rsidP="00DA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16D9B" w14:textId="77777777" w:rsidR="00DA5174" w:rsidRPr="00DA5174" w:rsidRDefault="00DA5174" w:rsidP="00DA5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3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DA5174" w:rsidRPr="00DA5174" w14:paraId="05CD2FCF" w14:textId="77777777" w:rsidTr="00DA51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C6C773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A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Classification of poem</w:t>
            </w:r>
          </w:p>
          <w:tbl>
            <w:tblPr>
              <w:tblW w:w="69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1"/>
              <w:gridCol w:w="280"/>
              <w:gridCol w:w="2042"/>
              <w:gridCol w:w="2177"/>
              <w:gridCol w:w="180"/>
            </w:tblGrid>
            <w:tr w:rsidR="00DA5174" w:rsidRPr="00DA5174" w14:paraId="19484484" w14:textId="77777777" w:rsidTr="00DA5174">
              <w:trPr>
                <w:gridAfter w:val="1"/>
                <w:wAfter w:w="135" w:type="dxa"/>
                <w:tblCellSpacing w:w="15" w:type="dxa"/>
              </w:trPr>
              <w:tc>
                <w:tcPr>
                  <w:tcW w:w="2206" w:type="dxa"/>
                  <w:vAlign w:val="center"/>
                  <w:hideMark/>
                </w:tcPr>
                <w:p w14:paraId="48DE4F15" w14:textId="77777777" w:rsidR="00DA5174" w:rsidRPr="00DA5174" w:rsidRDefault="00DA5174" w:rsidP="00DA5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gridSpan w:val="3"/>
                  <w:vAlign w:val="center"/>
                  <w:hideMark/>
                </w:tcPr>
                <w:p w14:paraId="138CBD56" w14:textId="77777777" w:rsidR="00DA5174" w:rsidRPr="00DA5174" w:rsidRDefault="00DA5174" w:rsidP="00DA5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Type of poem: </w:t>
                  </w:r>
                  <w:hyperlink r:id="rId6" w:anchor="lyric" w:history="1">
                    <w:r w:rsidRPr="00DA51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lyric poem</w:t>
                    </w:r>
                  </w:hyperlink>
                  <w:r w:rsidRPr="00DA5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Type of lyric poem: </w:t>
                  </w:r>
                  <w:hyperlink r:id="rId7" w:anchor="sonnet" w:history="1">
                    <w:r w:rsidRPr="00DA51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sonnet</w:t>
                    </w:r>
                  </w:hyperlink>
                  <w:r w:rsidRPr="00DA5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Type of sonnet: </w:t>
                  </w:r>
                  <w:hyperlink r:id="rId8" w:anchor="sonnet" w:history="1">
                    <w:r w:rsidRPr="00DA51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Shakespearean or </w:t>
                    </w:r>
                    <w:proofErr w:type="spellStart"/>
                    <w:r w:rsidRPr="00DA51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Elizabehan</w:t>
                    </w:r>
                    <w:proofErr w:type="spellEnd"/>
                  </w:hyperlink>
                </w:p>
              </w:tc>
            </w:tr>
            <w:tr w:rsidR="00DA5174" w:rsidRPr="00DA5174" w14:paraId="11293389" w14:textId="77777777" w:rsidTr="00DA5174">
              <w:trPr>
                <w:tblCellSpacing w:w="15" w:type="dxa"/>
              </w:trPr>
              <w:tc>
                <w:tcPr>
                  <w:tcW w:w="2486" w:type="dxa"/>
                  <w:gridSpan w:val="2"/>
                  <w:vAlign w:val="center"/>
                  <w:hideMark/>
                </w:tcPr>
                <w:p w14:paraId="04793F3E" w14:textId="77777777" w:rsidR="00DA5174" w:rsidRPr="00DA5174" w:rsidRDefault="00DA5174" w:rsidP="00DA5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14:paraId="3A7BE558" w14:textId="77777777" w:rsidR="00DA5174" w:rsidRPr="00DA5174" w:rsidRDefault="00DA5174" w:rsidP="00DA5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2" w:type="dxa"/>
                  <w:gridSpan w:val="2"/>
                  <w:vAlign w:val="center"/>
                  <w:hideMark/>
                </w:tcPr>
                <w:p w14:paraId="3E1A472C" w14:textId="77777777" w:rsidR="00DA5174" w:rsidRPr="00DA5174" w:rsidRDefault="00DA5174" w:rsidP="00DA5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AACC5C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overview"/>
            <w:r w:rsidRPr="00DA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Overview</w:t>
            </w:r>
          </w:p>
          <w:p w14:paraId="576ECB19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Written in 1818, this poem expresses concerns that run through his poetry and his letters--fame, love, and time. Keats was conscious of needing time to write his poetry; when twenty-one, he wrote,</w:t>
            </w:r>
          </w:p>
          <w:p w14:paraId="50726AA7" w14:textId="77777777" w:rsidR="00DA5174" w:rsidRPr="00DA5174" w:rsidRDefault="00DA5174" w:rsidP="00DA517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Oh, for ten years that I may overwhelm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Myself in poesy.</w:t>
            </w:r>
          </w:p>
          <w:p w14:paraId="50726A13" w14:textId="77777777" w:rsidR="00DA5174" w:rsidRPr="00DA5174" w:rsidRDefault="00DA5174" w:rsidP="00DA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By age twenty-four--only three years later, he had essentially stopped writing because of ill health. There were times he felt confident that his poetry would survive him, "I think I shall be among the English Poets after my death." Nevertheless, the inscription he wrote for his headstone was, "Here lies one whose name was writ in water."</w:t>
            </w:r>
          </w:p>
          <w:p w14:paraId="505C39D6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A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Definitions and Allusions</w:t>
            </w:r>
          </w:p>
          <w:p w14:paraId="7D23A5E6" w14:textId="77777777" w:rsidR="00DA5174" w:rsidRPr="00DA5174" w:rsidRDefault="00DA5174" w:rsidP="00DA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Line 2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glean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: in this poem, Keats is using the meaning of collecting patiently or picking out laboriously.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teeming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: plentiful, overflowing, or produced in large quantities.</w:t>
            </w:r>
          </w:p>
          <w:p w14:paraId="5BA05C9E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Line 3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charactery</w:t>
            </w:r>
            <w:proofErr w:type="spellEnd"/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: printing or handwriting.</w:t>
            </w:r>
          </w:p>
          <w:p w14:paraId="320E012D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Line 4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garners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: granaries or storehouses for grain.</w:t>
            </w:r>
          </w:p>
          <w:p w14:paraId="5E4FE4C7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Line 6.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romance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= of an elevated or exalted character or quality; </w:t>
            </w:r>
            <w:r w:rsidRPr="00DA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romance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= medieval narrative of chivalry, also an idealistic fiction which tends not to be realistic.</w:t>
            </w:r>
            <w:bookmarkStart w:id="1" w:name="analysis"/>
            <w:bookmarkEnd w:id="0"/>
          </w:p>
          <w:p w14:paraId="3A08806F" w14:textId="77777777" w:rsidR="00DA5174" w:rsidRDefault="00DA5174" w:rsidP="00DA51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333E981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A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Analysis</w:t>
            </w:r>
          </w:p>
          <w:p w14:paraId="2991E922" w14:textId="77777777" w:rsidR="00DA5174" w:rsidRPr="00DA5174" w:rsidRDefault="00DA5174" w:rsidP="00DA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This poem falls into two major thought groups:</w:t>
            </w:r>
          </w:p>
          <w:p w14:paraId="5DA98D26" w14:textId="77777777" w:rsidR="00DA5174" w:rsidRPr="00DA5174" w:rsidRDefault="00DA5174" w:rsidP="00DA51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Keats expresses his fear of dying young in the first thought unit, lines 1-12. He fears that he will not fulfill himself as a writer (lines 1-8) and that he will lose his beloved (lines 9-12).</w:t>
            </w:r>
          </w:p>
          <w:p w14:paraId="4C98D5CD" w14:textId="77777777" w:rsidR="00DA5174" w:rsidRPr="00DA5174" w:rsidRDefault="00DA5174" w:rsidP="00DA51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Keats resolves his fears by asserting the unimportance of love and fame in the concluding two and a half lines of this sonnet.</w:t>
            </w:r>
          </w:p>
          <w:p w14:paraId="1E4F0200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The first quatrain (four lines) emphasizes both how fertile his imagination is and how much he has to express; hence the imagery of the harvest, e.g., "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glean'd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," "garners," "full 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ripen'd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grain." Subtly reinforcing this idea is the </w:t>
            </w:r>
            <w:bookmarkEnd w:id="1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"http://academic.brooklyn.cuny.edu/english/melani/cs6/lit_term.html" \l "allit" </w:instrTex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A51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alliteration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key words "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lean'd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," 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arners," and "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rain," as well as the repetition of 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sounds in "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characte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," "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ich," "ga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ners,"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ipen'd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," and "g</w:t>
            </w:r>
            <w:r w:rsidRPr="00DA5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ain.". A harvest is, obviously, fulfillment in time, the culmination 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yields a valued product, as reflected in the grain being "full 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ripen'd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." Abundance is also apparent in the adjectives "high-piled" and "rich." The harvest metaphor contains a </w:t>
            </w:r>
            <w:hyperlink r:id="rId9" w:anchor="paradox" w:history="1">
              <w:r w:rsidRPr="00DA51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paradox</w:t>
              </w:r>
            </w:hyperlink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(paradox is a characteristic of Keats's poetry and thought): Keats is both the field of grain (his imagination is like the grain to 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be harvested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) and he is the harvester (writer of poetry).</w:t>
            </w:r>
          </w:p>
          <w:p w14:paraId="580C7C63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In the next quatrain (lines 5-8), he sees the world as full of material he could transform into poetry (his is "the magic hand"); the material is the beauty of nature ("night's 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starr'd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face") and the larger meanings he perceives beneath the appearance of nature or physical phenomena ("Huge cloudy </w:t>
            </w:r>
            <w:hyperlink r:id="rId10" w:anchor="symbol" w:history="1">
              <w:r w:rsidRPr="00DA51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symbols</w:t>
              </w:r>
            </w:hyperlink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") .</w:t>
            </w:r>
          </w:p>
          <w:p w14:paraId="720CB941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In the third quatrain (lines 9-12), he turns to love. As the "fair creature of an hour," his beloved is short-lived just as, by implication, love is. The quatrain itself parallels the idea of little time, in being only three and a half lines, rather than the usual four lines of a Shakespearean sonnet; the effect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  of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compression or shortening is of a slight speeding-up of time. Is love as important as, less important 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than,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more important than poetry for Keats in this poem? Does the fact that he devotes fewer lines to love than to poetry suggest anything about their relative importance to him?</w:t>
            </w:r>
          </w:p>
          <w:p w14:paraId="6D2BE3E7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The poet's concern with time (not enough time to fulfill his poetic gift and love) 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is supported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repetition of "when" at the beginning of each quatrain and by the shortening of the third quatrain. Keats attributes two qualities to love: (1) it has the ability to transform the world for the lovers ("faery power"), but of 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fairies are not real, 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their enchantments are an illusion and (2) love involves us with emotion rather than thought ("I feel" and "unreflecting love").</w:t>
            </w:r>
          </w:p>
          <w:p w14:paraId="47D30755" w14:textId="77777777" w:rsidR="00DA5174" w:rsidRPr="00DA5174" w:rsidRDefault="00DA5174" w:rsidP="00DA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Reflecting upon his feelings, which the act of writing this sonnet has involved, Keats achieves some distancing from his own feelings and ordinary life; this distancing enables him to reach a resolution. He thinks about the human solitariness ("I stand alone") and human insignificance (the implicit contrast </w:t>
            </w:r>
            <w:proofErr w:type="spell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betwen</w:t>
            </w:r>
            <w:proofErr w:type="spell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lone self and "the wide world"). The shore is a point of contact, the threshold between two worlds or conditions, land and sea</w:t>
            </w:r>
            <w:proofErr w:type="gramStart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Keats is crossing a threshold, from his desire for fame and love to accepting their unimportance and ceasing to fear and yearn.</w:t>
            </w:r>
            <w:r w:rsidRPr="00DA5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14:paraId="2BAFC934" w14:textId="77777777" w:rsidR="00DA5174" w:rsidRDefault="00DA5174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proofErr w:type="spellStart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lastRenderedPageBreak/>
        <w:t>Melani</w:t>
      </w:r>
      <w:proofErr w:type="spellEnd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, Lilia. “‘When I Have Fears That I May Cease To Be.’” </w:t>
      </w:r>
      <w:r w:rsidRPr="00DA5174">
        <w:rPr>
          <w:rFonts w:ascii="Segoe UI" w:hAnsi="Segoe UI" w:cs="Segoe UI"/>
          <w:i/>
          <w:iCs/>
          <w:color w:val="333333"/>
          <w:sz w:val="24"/>
          <w:szCs w:val="24"/>
          <w:shd w:val="clear" w:color="auto" w:fill="FFFFFF"/>
        </w:rPr>
        <w:t>Academic.brooklyn.cuny.edu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, </w:t>
      </w:r>
    </w:p>
    <w:p w14:paraId="11C6A1CA" w14:textId="77777777" w:rsidR="00DA5174" w:rsidRDefault="00DA5174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ab/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Brooklyn College, 12 Feb. 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ab/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2009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. 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Date 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Accessed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23 Jan. 2019.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</w:p>
    <w:p w14:paraId="0C398A51" w14:textId="77777777" w:rsidR="00702CBF" w:rsidRPr="00DA5174" w:rsidRDefault="00DA5174">
      <w:pPr>
        <w:rPr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ab/>
      </w:r>
      <w:bookmarkStart w:id="2" w:name="_GoBack"/>
      <w:bookmarkEnd w:id="2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academic.brooklyn.cuny.edu/</w:t>
      </w:r>
      <w:proofErr w:type="spellStart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english</w:t>
      </w:r>
      <w:proofErr w:type="spellEnd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/</w:t>
      </w:r>
      <w:proofErr w:type="spellStart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melani</w:t>
      </w:r>
      <w:proofErr w:type="spellEnd"/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/cs6/fear.html.</w:t>
      </w:r>
      <w:r w:rsidRPr="00DA5174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</w:p>
    <w:sectPr w:rsidR="00702CBF" w:rsidRPr="00DA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C35"/>
    <w:multiLevelType w:val="multilevel"/>
    <w:tmpl w:val="B938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74"/>
    <w:rsid w:val="00702CBF"/>
    <w:rsid w:val="00D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E644"/>
  <w15:chartTrackingRefBased/>
  <w15:docId w15:val="{91C7B855-2548-456A-ABC6-DAEDDC8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.brooklyn.cuny.edu/english/melani/lit_ter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c.brooklyn.cuny.edu/english/melani/lit_ter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.brooklyn.cuny.edu/english/melani/lit_term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academic.brooklyn.cuny.edu/english/melani/lit_te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.brooklyn.cuny.edu/english/melani/lit_te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1</cp:revision>
  <dcterms:created xsi:type="dcterms:W3CDTF">2019-01-23T13:52:00Z</dcterms:created>
  <dcterms:modified xsi:type="dcterms:W3CDTF">2019-01-23T13:59:00Z</dcterms:modified>
</cp:coreProperties>
</file>